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CC613" w14:textId="77777777" w:rsidR="003F1DFF" w:rsidRDefault="003F1DFF" w:rsidP="003F1DFF">
      <w:pPr>
        <w:pStyle w:val="Default"/>
      </w:pPr>
    </w:p>
    <w:p w14:paraId="4C57B2E0" w14:textId="77777777" w:rsidR="003F1DFF" w:rsidRDefault="003F1DFF" w:rsidP="003F1DFF">
      <w:pPr>
        <w:pStyle w:val="Default"/>
        <w:rPr>
          <w:sz w:val="22"/>
          <w:szCs w:val="22"/>
        </w:rPr>
      </w:pPr>
      <w:r>
        <w:t xml:space="preserve"> </w:t>
      </w:r>
      <w:r>
        <w:rPr>
          <w:b/>
          <w:bCs/>
          <w:sz w:val="22"/>
          <w:szCs w:val="22"/>
        </w:rPr>
        <w:t xml:space="preserve">1. Faculty Research </w:t>
      </w:r>
    </w:p>
    <w:p w14:paraId="5B760B79" w14:textId="77777777" w:rsidR="003F1DFF" w:rsidRDefault="003F1DFF" w:rsidP="003F1DFF">
      <w:pPr>
        <w:pStyle w:val="Default"/>
        <w:rPr>
          <w:sz w:val="22"/>
          <w:szCs w:val="22"/>
        </w:rPr>
      </w:pPr>
      <w:r>
        <w:rPr>
          <w:sz w:val="22"/>
          <w:szCs w:val="22"/>
        </w:rPr>
        <w:t xml:space="preserve">1.1 Faculty members are encouraged to undertake research projects either individually or through teams of faculty members from different departments and/or colleges </w:t>
      </w:r>
    </w:p>
    <w:p w14:paraId="5AA30177" w14:textId="77777777" w:rsidR="003F1DFF" w:rsidRDefault="003F1DFF" w:rsidP="003F1DFF">
      <w:pPr>
        <w:pStyle w:val="Default"/>
        <w:rPr>
          <w:sz w:val="22"/>
          <w:szCs w:val="22"/>
        </w:rPr>
      </w:pPr>
      <w:r>
        <w:rPr>
          <w:sz w:val="22"/>
          <w:szCs w:val="22"/>
        </w:rPr>
        <w:t xml:space="preserve">1.2 All full-time faculty members are entitled to apply for research grants. Abu Dhabi University, through the Office of Research &amp; Sponsored Programs, offers the following four types of grants: </w:t>
      </w:r>
    </w:p>
    <w:p w14:paraId="3A7C0A46" w14:textId="77777777" w:rsidR="003F1DFF" w:rsidRDefault="003F1DFF" w:rsidP="003F1DFF">
      <w:pPr>
        <w:pStyle w:val="Default"/>
        <w:numPr>
          <w:ilvl w:val="0"/>
          <w:numId w:val="1"/>
        </w:numPr>
        <w:rPr>
          <w:sz w:val="22"/>
          <w:szCs w:val="22"/>
        </w:rPr>
      </w:pPr>
      <w:r>
        <w:rPr>
          <w:sz w:val="22"/>
          <w:szCs w:val="22"/>
        </w:rPr>
        <w:t xml:space="preserve">a) Faculty Research Incentive Grant (FRIG) </w:t>
      </w:r>
    </w:p>
    <w:p w14:paraId="43A2E351" w14:textId="77777777" w:rsidR="003F1DFF" w:rsidRPr="003F1DFF" w:rsidRDefault="003F1DFF" w:rsidP="003F1DFF">
      <w:pPr>
        <w:autoSpaceDE w:val="0"/>
        <w:autoSpaceDN w:val="0"/>
        <w:adjustRightInd w:val="0"/>
        <w:spacing w:after="0" w:line="240" w:lineRule="auto"/>
        <w:rPr>
          <w:rFonts w:ascii="Tahoma" w:hAnsi="Tahoma" w:cs="Tahoma"/>
          <w:color w:val="000000"/>
          <w:sz w:val="24"/>
          <w:szCs w:val="24"/>
        </w:rPr>
      </w:pPr>
    </w:p>
    <w:p w14:paraId="5AF763A1" w14:textId="77777777" w:rsidR="003F1DFF" w:rsidRPr="003F1DFF" w:rsidRDefault="003F1DFF" w:rsidP="003F1DFF">
      <w:pPr>
        <w:numPr>
          <w:ilvl w:val="0"/>
          <w:numId w:val="2"/>
        </w:numPr>
        <w:autoSpaceDE w:val="0"/>
        <w:autoSpaceDN w:val="0"/>
        <w:adjustRightInd w:val="0"/>
        <w:spacing w:after="60" w:line="240" w:lineRule="auto"/>
        <w:rPr>
          <w:rFonts w:ascii="Tahoma" w:hAnsi="Tahoma" w:cs="Tahoma"/>
          <w:color w:val="000000"/>
        </w:rPr>
      </w:pPr>
      <w:r w:rsidRPr="003F1DFF">
        <w:rPr>
          <w:rFonts w:ascii="Tahoma" w:hAnsi="Tahoma" w:cs="Tahoma"/>
          <w:color w:val="000000"/>
        </w:rPr>
        <w:t xml:space="preserve">b) Teaching &amp; Learning Grant (TLG) </w:t>
      </w:r>
    </w:p>
    <w:p w14:paraId="5FB60315" w14:textId="77777777" w:rsidR="003F1DFF" w:rsidRPr="003F1DFF" w:rsidRDefault="003F1DFF" w:rsidP="003F1DFF">
      <w:pPr>
        <w:numPr>
          <w:ilvl w:val="0"/>
          <w:numId w:val="2"/>
        </w:numPr>
        <w:autoSpaceDE w:val="0"/>
        <w:autoSpaceDN w:val="0"/>
        <w:adjustRightInd w:val="0"/>
        <w:spacing w:after="60" w:line="240" w:lineRule="auto"/>
        <w:rPr>
          <w:rFonts w:ascii="Tahoma" w:hAnsi="Tahoma" w:cs="Tahoma"/>
          <w:color w:val="000000"/>
        </w:rPr>
      </w:pPr>
      <w:r w:rsidRPr="003F1DFF">
        <w:rPr>
          <w:rFonts w:ascii="Tahoma" w:hAnsi="Tahoma" w:cs="Tahoma"/>
          <w:color w:val="000000"/>
        </w:rPr>
        <w:t xml:space="preserve">c) Action Research Grant (ARG) </w:t>
      </w:r>
    </w:p>
    <w:p w14:paraId="64A13689" w14:textId="77777777" w:rsidR="003F1DFF" w:rsidRPr="003F1DFF" w:rsidRDefault="003F1DFF" w:rsidP="003F1DFF">
      <w:pPr>
        <w:numPr>
          <w:ilvl w:val="0"/>
          <w:numId w:val="2"/>
        </w:num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d) Research Equipment Grant (REG) </w:t>
      </w:r>
    </w:p>
    <w:tbl>
      <w:tblPr>
        <w:tblW w:w="10782" w:type="dxa"/>
        <w:tblInd w:w="-108" w:type="dxa"/>
        <w:tblBorders>
          <w:top w:val="nil"/>
          <w:left w:val="nil"/>
          <w:bottom w:val="nil"/>
          <w:right w:val="nil"/>
        </w:tblBorders>
        <w:tblLayout w:type="fixed"/>
        <w:tblLook w:val="0000" w:firstRow="0" w:lastRow="0" w:firstColumn="0" w:lastColumn="0" w:noHBand="0" w:noVBand="0"/>
      </w:tblPr>
      <w:tblGrid>
        <w:gridCol w:w="2156"/>
        <w:gridCol w:w="539"/>
        <w:gridCol w:w="1617"/>
        <w:gridCol w:w="928"/>
        <w:gridCol w:w="151"/>
        <w:gridCol w:w="1077"/>
        <w:gridCol w:w="1618"/>
        <w:gridCol w:w="538"/>
        <w:gridCol w:w="1856"/>
        <w:gridCol w:w="302"/>
      </w:tblGrid>
      <w:tr w:rsidR="003F1DFF" w:rsidRPr="003F1DFF" w14:paraId="4F5E82BA" w14:textId="77777777" w:rsidTr="003F1DFF">
        <w:trPr>
          <w:trHeight w:val="181"/>
        </w:trPr>
        <w:tc>
          <w:tcPr>
            <w:tcW w:w="5391" w:type="dxa"/>
            <w:gridSpan w:val="5"/>
          </w:tcPr>
          <w:p w14:paraId="17B613EB"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Refer to the table below for rules related to all the Abu Dhabi University funded grants. </w:t>
            </w:r>
            <w:r w:rsidRPr="003F1DFF">
              <w:rPr>
                <w:rFonts w:ascii="Tahoma" w:hAnsi="Tahoma" w:cs="Tahoma"/>
                <w:b/>
                <w:bCs/>
                <w:color w:val="000000"/>
              </w:rPr>
              <w:t xml:space="preserve">Description </w:t>
            </w:r>
          </w:p>
        </w:tc>
        <w:tc>
          <w:tcPr>
            <w:tcW w:w="5391" w:type="dxa"/>
            <w:gridSpan w:val="5"/>
          </w:tcPr>
          <w:p w14:paraId="3F26D24C"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b/>
                <w:bCs/>
                <w:color w:val="000000"/>
              </w:rPr>
              <w:t xml:space="preserve">Grant Type </w:t>
            </w:r>
          </w:p>
        </w:tc>
      </w:tr>
      <w:tr w:rsidR="003F1DFF" w:rsidRPr="003F1DFF" w14:paraId="11E42B4C" w14:textId="77777777" w:rsidTr="003F1DFF">
        <w:trPr>
          <w:trHeight w:val="107"/>
        </w:trPr>
        <w:tc>
          <w:tcPr>
            <w:tcW w:w="2695" w:type="dxa"/>
            <w:gridSpan w:val="2"/>
          </w:tcPr>
          <w:p w14:paraId="77CA0098"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FRIG </w:t>
            </w:r>
          </w:p>
        </w:tc>
        <w:tc>
          <w:tcPr>
            <w:tcW w:w="2696" w:type="dxa"/>
            <w:gridSpan w:val="3"/>
          </w:tcPr>
          <w:p w14:paraId="1B85BE0F"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TLG </w:t>
            </w:r>
          </w:p>
        </w:tc>
        <w:tc>
          <w:tcPr>
            <w:tcW w:w="2695" w:type="dxa"/>
            <w:gridSpan w:val="2"/>
          </w:tcPr>
          <w:p w14:paraId="74D8FC38"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ARG </w:t>
            </w:r>
          </w:p>
        </w:tc>
        <w:tc>
          <w:tcPr>
            <w:tcW w:w="2696" w:type="dxa"/>
            <w:gridSpan w:val="3"/>
          </w:tcPr>
          <w:p w14:paraId="4350E814"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REG </w:t>
            </w:r>
          </w:p>
        </w:tc>
      </w:tr>
      <w:tr w:rsidR="003F1DFF" w:rsidRPr="003F1DFF" w14:paraId="63599917" w14:textId="77777777" w:rsidTr="003F1DFF">
        <w:trPr>
          <w:trHeight w:val="2231"/>
        </w:trPr>
        <w:tc>
          <w:tcPr>
            <w:tcW w:w="2156" w:type="dxa"/>
          </w:tcPr>
          <w:p w14:paraId="795DC8E4"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Purpose </w:t>
            </w:r>
          </w:p>
        </w:tc>
        <w:tc>
          <w:tcPr>
            <w:tcW w:w="2156" w:type="dxa"/>
            <w:gridSpan w:val="2"/>
          </w:tcPr>
          <w:p w14:paraId="1DF0BB35"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The purpose of FRIG is to generate knowledge of impact, quality and relevance. Faculty are encouraged to conduct research pertaining to their area of expertise in a way that is relevant to the needs and vision of the UAE. This program specifically aims to align ADU’s research with the seven sectors of the UAE National Innovation Strategy. </w:t>
            </w:r>
          </w:p>
        </w:tc>
        <w:tc>
          <w:tcPr>
            <w:tcW w:w="2156" w:type="dxa"/>
            <w:gridSpan w:val="3"/>
          </w:tcPr>
          <w:p w14:paraId="374A94C8"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The purpose of TLG is to serve Abu Dhabi University's mission of keeping students at the heart of everything we do. The purpose of this initiative is to support building of a first-rate education system, one of the main goals of the UAE National Innovation Strategy. </w:t>
            </w:r>
          </w:p>
        </w:tc>
        <w:tc>
          <w:tcPr>
            <w:tcW w:w="2156" w:type="dxa"/>
            <w:gridSpan w:val="2"/>
          </w:tcPr>
          <w:p w14:paraId="433A7CCC"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The purpose of ARG is to support one of the major goals of Abu Dhabi University’s 2022 Vision: enhancing service excellence within the institution. This program supports initiatives undertaken by faculty to drive process efficiency with effective, ‘out of the box’ solutions and best practices within Abu Dhabi University. </w:t>
            </w:r>
          </w:p>
        </w:tc>
        <w:tc>
          <w:tcPr>
            <w:tcW w:w="2158" w:type="dxa"/>
            <w:gridSpan w:val="2"/>
          </w:tcPr>
          <w:p w14:paraId="35D2642B"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The purpose of REG is to provide an avenue for researchers to acquire top-quality, high-end scientific equipment to support their research that cannot be covered by the limited funding allocated for acquiring such items through other initiatives. </w:t>
            </w:r>
          </w:p>
        </w:tc>
      </w:tr>
      <w:tr w:rsidR="003F1DFF" w:rsidRPr="003F1DFF" w14:paraId="2B2150D2" w14:textId="77777777" w:rsidTr="003F1DFF">
        <w:trPr>
          <w:trHeight w:val="2763"/>
        </w:trPr>
        <w:tc>
          <w:tcPr>
            <w:tcW w:w="2156" w:type="dxa"/>
          </w:tcPr>
          <w:p w14:paraId="7F52EE87"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Objective </w:t>
            </w:r>
          </w:p>
        </w:tc>
        <w:tc>
          <w:tcPr>
            <w:tcW w:w="2156" w:type="dxa"/>
            <w:gridSpan w:val="2"/>
          </w:tcPr>
          <w:p w14:paraId="2B95B5D1"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 To develop Abu Dhabi University as a solution-oriented institution that contributes To research breakthroughs relevant To the UAE. · To develop a research-active infrastructure that supports the diverse expertise of Abu Dhabi University researchers. · To enhance exposure of Abu Dhabi University faculty To international collaborative opportunities. · To contribute toward advancing the </w:t>
            </w:r>
            <w:r w:rsidRPr="003F1DFF">
              <w:rPr>
                <w:rFonts w:ascii="Tahoma" w:hAnsi="Tahoma" w:cs="Tahoma"/>
                <w:color w:val="000000"/>
              </w:rPr>
              <w:lastRenderedPageBreak/>
              <w:t xml:space="preserve">professional development of faculty. · To attract industry </w:t>
            </w:r>
          </w:p>
          <w:p w14:paraId="296CE7AC" w14:textId="77777777" w:rsidR="003F1DFF" w:rsidRDefault="003F1DFF" w:rsidP="003F1DFF">
            <w:pPr>
              <w:pStyle w:val="Default"/>
              <w:rPr>
                <w:sz w:val="22"/>
                <w:szCs w:val="22"/>
              </w:rPr>
            </w:pPr>
            <w:proofErr w:type="gramStart"/>
            <w:r>
              <w:rPr>
                <w:sz w:val="22"/>
                <w:szCs w:val="22"/>
              </w:rPr>
              <w:t>partnerships</w:t>
            </w:r>
            <w:proofErr w:type="gramEnd"/>
            <w:r>
              <w:rPr>
                <w:sz w:val="22"/>
                <w:szCs w:val="22"/>
              </w:rPr>
              <w:t xml:space="preserve"> by way of building a strong research profile. · To promote generation of innovative solutions for industry and academia. </w:t>
            </w:r>
          </w:p>
          <w:p w14:paraId="520075AB" w14:textId="77777777" w:rsidR="003F1DFF" w:rsidRPr="003F1DFF" w:rsidRDefault="003F1DFF" w:rsidP="003F1DFF">
            <w:pPr>
              <w:autoSpaceDE w:val="0"/>
              <w:autoSpaceDN w:val="0"/>
              <w:adjustRightInd w:val="0"/>
              <w:spacing w:after="0" w:line="240" w:lineRule="auto"/>
              <w:rPr>
                <w:rFonts w:ascii="Tahoma" w:hAnsi="Tahoma" w:cs="Tahoma"/>
                <w:color w:val="000000"/>
              </w:rPr>
            </w:pPr>
          </w:p>
        </w:tc>
        <w:tc>
          <w:tcPr>
            <w:tcW w:w="2156" w:type="dxa"/>
            <w:gridSpan w:val="3"/>
          </w:tcPr>
          <w:p w14:paraId="76AF0632"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lastRenderedPageBreak/>
              <w:t xml:space="preserve">· To develop solutions that contribute to the advancement of education system within Abu Dhabi University. · To wield faculty expertise in enhancing the overall student experience. · To incorporate learning practices that develop student competence beyond the traditional classroom experience. </w:t>
            </w:r>
          </w:p>
        </w:tc>
        <w:tc>
          <w:tcPr>
            <w:tcW w:w="2156" w:type="dxa"/>
            <w:gridSpan w:val="2"/>
          </w:tcPr>
          <w:p w14:paraId="338DADA4"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 To invest in the development of institutional performance and capacity in Abu Dhabi University. · To incorporate best practices and creative solutions that enhance employee productivity. · To identify and pursue trends that would drive Abu Dhabi University to generate informed strategic decisions. </w:t>
            </w:r>
          </w:p>
        </w:tc>
        <w:tc>
          <w:tcPr>
            <w:tcW w:w="2158" w:type="dxa"/>
            <w:gridSpan w:val="2"/>
          </w:tcPr>
          <w:p w14:paraId="5D4B419F"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 To develop Abu Dhabi University to provide cutting-edge solutions to problems in advanced areas of research. · To enhance student experience by means of scientific equipment designed for practical learning. </w:t>
            </w:r>
          </w:p>
        </w:tc>
      </w:tr>
      <w:tr w:rsidR="003F1DFF" w:rsidRPr="003F1DFF" w14:paraId="76C8016F" w14:textId="77777777" w:rsidTr="003F1DFF">
        <w:trPr>
          <w:gridAfter w:val="1"/>
          <w:wAfter w:w="302" w:type="dxa"/>
          <w:trHeight w:val="374"/>
        </w:trPr>
        <w:tc>
          <w:tcPr>
            <w:tcW w:w="5240" w:type="dxa"/>
            <w:gridSpan w:val="4"/>
          </w:tcPr>
          <w:p w14:paraId="38265CE2"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Budget </w:t>
            </w:r>
          </w:p>
        </w:tc>
        <w:tc>
          <w:tcPr>
            <w:tcW w:w="5240" w:type="dxa"/>
            <w:gridSpan w:val="5"/>
          </w:tcPr>
          <w:p w14:paraId="32C626B7"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Budget allocation may vary depending on the needs of the research project. FRIG grants would typically range between AED 20,000 to AED 50,000. REG grants can be requested up to AED 100,000. </w:t>
            </w:r>
          </w:p>
        </w:tc>
      </w:tr>
      <w:tr w:rsidR="003F1DFF" w:rsidRPr="003F1DFF" w14:paraId="50727DEC" w14:textId="77777777" w:rsidTr="003F1DFF">
        <w:trPr>
          <w:gridAfter w:val="1"/>
          <w:wAfter w:w="302" w:type="dxa"/>
          <w:trHeight w:val="107"/>
        </w:trPr>
        <w:tc>
          <w:tcPr>
            <w:tcW w:w="5240" w:type="dxa"/>
            <w:gridSpan w:val="4"/>
          </w:tcPr>
          <w:p w14:paraId="71EC000C" w14:textId="77777777" w:rsidR="003F1DFF" w:rsidRPr="003F1DFF" w:rsidRDefault="003F1DFF" w:rsidP="003F1DFF">
            <w:pPr>
              <w:autoSpaceDE w:val="0"/>
              <w:autoSpaceDN w:val="0"/>
              <w:adjustRightInd w:val="0"/>
              <w:spacing w:after="0" w:line="240" w:lineRule="auto"/>
              <w:rPr>
                <w:rFonts w:ascii="Tahoma" w:hAnsi="Tahoma" w:cs="Tahoma"/>
                <w:color w:val="000000"/>
              </w:rPr>
            </w:pPr>
            <w:r w:rsidRPr="003F1DFF">
              <w:rPr>
                <w:rFonts w:ascii="Tahoma" w:hAnsi="Tahoma" w:cs="Tahoma"/>
                <w:color w:val="000000"/>
              </w:rPr>
              <w:t xml:space="preserve">Period </w:t>
            </w:r>
          </w:p>
        </w:tc>
        <w:tc>
          <w:tcPr>
            <w:tcW w:w="5240" w:type="dxa"/>
            <w:gridSpan w:val="5"/>
          </w:tcPr>
          <w:p w14:paraId="05CACEF7" w14:textId="77777777" w:rsidR="003F1DFF" w:rsidRPr="003F1DFF" w:rsidRDefault="003F1DFF" w:rsidP="003F1DFF">
            <w:pPr>
              <w:autoSpaceDE w:val="0"/>
              <w:autoSpaceDN w:val="0"/>
              <w:adjustRightInd w:val="0"/>
              <w:spacing w:after="0" w:line="240" w:lineRule="auto"/>
              <w:rPr>
                <w:rFonts w:ascii="Tahoma" w:hAnsi="Tahoma" w:cs="Tahoma"/>
                <w:color w:val="000000"/>
                <w:sz w:val="24"/>
                <w:szCs w:val="24"/>
              </w:rPr>
            </w:pPr>
            <w:r w:rsidRPr="003F1DFF">
              <w:rPr>
                <w:rFonts w:ascii="Tahoma" w:hAnsi="Tahoma" w:cs="Tahoma"/>
                <w:color w:val="000000"/>
                <w:sz w:val="24"/>
                <w:szCs w:val="24"/>
              </w:rPr>
              <w:t xml:space="preserve">All faculty research grants will remain active for a duration of two academic years. </w:t>
            </w:r>
          </w:p>
        </w:tc>
      </w:tr>
    </w:tbl>
    <w:p w14:paraId="5355964F" w14:textId="77777777" w:rsidR="00F95865" w:rsidRDefault="00F95865"/>
    <w:p w14:paraId="15742ACB" w14:textId="77777777" w:rsidR="003F1DFF" w:rsidRDefault="003F1DFF" w:rsidP="003F1DFF">
      <w:pPr>
        <w:pStyle w:val="Default"/>
        <w:rPr>
          <w:sz w:val="22"/>
          <w:szCs w:val="22"/>
        </w:rPr>
      </w:pPr>
      <w:r>
        <w:rPr>
          <w:sz w:val="22"/>
          <w:szCs w:val="22"/>
        </w:rPr>
        <w:t xml:space="preserve">1.3 Call for proposals for faculty research grants would be announced at the start of every academic year. The results would be announced after evaluation rounds by December of every year. </w:t>
      </w:r>
    </w:p>
    <w:p w14:paraId="249A7C46" w14:textId="77777777" w:rsidR="003F1DFF" w:rsidRDefault="003F1DFF" w:rsidP="003F1DFF">
      <w:pPr>
        <w:pStyle w:val="Default"/>
        <w:rPr>
          <w:sz w:val="22"/>
          <w:szCs w:val="22"/>
        </w:rPr>
      </w:pPr>
      <w:r>
        <w:rPr>
          <w:sz w:val="22"/>
          <w:szCs w:val="22"/>
        </w:rPr>
        <w:t xml:space="preserve">1.4 A Principal Investigator (PI) may be involved in more than one internally funded project at a time in the same category. He or she shall be a PI in no more than two projects in an academic year and may serve as a Co-PI in multiple projects. </w:t>
      </w:r>
    </w:p>
    <w:p w14:paraId="559E4AB1" w14:textId="77777777" w:rsidR="003F1DFF" w:rsidRDefault="003F1DFF" w:rsidP="003F1DFF">
      <w:pPr>
        <w:pStyle w:val="Default"/>
        <w:rPr>
          <w:sz w:val="22"/>
          <w:szCs w:val="22"/>
        </w:rPr>
      </w:pPr>
      <w:r>
        <w:rPr>
          <w:sz w:val="22"/>
          <w:szCs w:val="22"/>
        </w:rPr>
        <w:t xml:space="preserve">1.5 Transfer of funds from one category to another is allowed as long as it does not exceed 10% of the total budget. Any additional transfer should be approved by the Director of Research prior to fund utilization. </w:t>
      </w:r>
    </w:p>
    <w:p w14:paraId="34A44A28" w14:textId="77777777" w:rsidR="003F1DFF" w:rsidRDefault="003F1DFF" w:rsidP="003F1DFF">
      <w:pPr>
        <w:pStyle w:val="Default"/>
        <w:rPr>
          <w:sz w:val="22"/>
          <w:szCs w:val="22"/>
        </w:rPr>
      </w:pPr>
      <w:r>
        <w:rPr>
          <w:sz w:val="22"/>
          <w:szCs w:val="22"/>
        </w:rPr>
        <w:t xml:space="preserve">1.6 Requests for time extension are usually not granted but may be considered based on proven significant progress in research project. </w:t>
      </w:r>
    </w:p>
    <w:p w14:paraId="1DBDC2EA" w14:textId="77777777" w:rsidR="003F1DFF" w:rsidRDefault="003F1DFF" w:rsidP="003F1DFF">
      <w:pPr>
        <w:pStyle w:val="Default"/>
        <w:rPr>
          <w:sz w:val="22"/>
          <w:szCs w:val="22"/>
        </w:rPr>
      </w:pPr>
      <w:r>
        <w:rPr>
          <w:sz w:val="22"/>
          <w:szCs w:val="22"/>
        </w:rPr>
        <w:t xml:space="preserve">1.7 Only one professional development travel effort may be funded under each research grant. </w:t>
      </w:r>
    </w:p>
    <w:p w14:paraId="13EB5172" w14:textId="77777777" w:rsidR="003F1DFF" w:rsidRDefault="003F1DFF" w:rsidP="003F1DFF">
      <w:pPr>
        <w:pStyle w:val="Default"/>
        <w:rPr>
          <w:sz w:val="22"/>
          <w:szCs w:val="22"/>
        </w:rPr>
      </w:pPr>
      <w:r>
        <w:rPr>
          <w:sz w:val="22"/>
          <w:szCs w:val="22"/>
        </w:rPr>
        <w:t xml:space="preserve">1.8 A progress report should be submitted to the Office of Research &amp; Sponsored Programs at the end of every academic year. A project closing report should be provided by the end of funding grant award agreement. </w:t>
      </w:r>
    </w:p>
    <w:p w14:paraId="45A02C00" w14:textId="77777777" w:rsidR="003F1DFF" w:rsidRDefault="003F1DFF" w:rsidP="003F1DFF">
      <w:r>
        <w:t>1.9 In case of termination of faculty member’s contract with University, the research grant awarded to faculty would be terminated as well.</w:t>
      </w:r>
    </w:p>
    <w:p w14:paraId="2CC4CE93" w14:textId="77777777" w:rsidR="003F1DFF" w:rsidRDefault="003F1DFF" w:rsidP="003F1DFF">
      <w:pPr>
        <w:pStyle w:val="Default"/>
        <w:rPr>
          <w:sz w:val="22"/>
          <w:szCs w:val="22"/>
        </w:rPr>
      </w:pPr>
      <w:r>
        <w:rPr>
          <w:b/>
          <w:bCs/>
          <w:sz w:val="22"/>
          <w:szCs w:val="22"/>
        </w:rPr>
        <w:t xml:space="preserve">2. Undergraduate Student Research Grant </w:t>
      </w:r>
    </w:p>
    <w:p w14:paraId="15359753" w14:textId="77777777" w:rsidR="003F1DFF" w:rsidRDefault="003F1DFF" w:rsidP="003F1DFF">
      <w:pPr>
        <w:pStyle w:val="Default"/>
        <w:rPr>
          <w:sz w:val="22"/>
          <w:szCs w:val="22"/>
        </w:rPr>
      </w:pPr>
      <w:r>
        <w:rPr>
          <w:sz w:val="22"/>
          <w:szCs w:val="22"/>
        </w:rPr>
        <w:t xml:space="preserve">2.1 The purpose of this scholarship is to encourage and invoke a research mindset amongst students of Abu Dhabi University by providing funding for academic projects. This grant will enable students to access resources and necessary equipment without budgetary constraints. </w:t>
      </w:r>
    </w:p>
    <w:p w14:paraId="43FB0E4A" w14:textId="77777777" w:rsidR="003F1DFF" w:rsidRDefault="003F1DFF" w:rsidP="003F1DFF">
      <w:pPr>
        <w:pStyle w:val="Default"/>
        <w:rPr>
          <w:sz w:val="22"/>
          <w:szCs w:val="22"/>
        </w:rPr>
      </w:pPr>
      <w:r>
        <w:rPr>
          <w:sz w:val="22"/>
          <w:szCs w:val="22"/>
        </w:rPr>
        <w:t xml:space="preserve">2.2 To be eligible for this grant, a student must satisfy the following conditions: </w:t>
      </w:r>
    </w:p>
    <w:p w14:paraId="115FFD22" w14:textId="77777777" w:rsidR="003F1DFF" w:rsidRDefault="003F1DFF" w:rsidP="003F1DFF">
      <w:pPr>
        <w:pStyle w:val="Default"/>
        <w:rPr>
          <w:sz w:val="22"/>
          <w:szCs w:val="22"/>
        </w:rPr>
      </w:pPr>
      <w:r>
        <w:rPr>
          <w:sz w:val="22"/>
          <w:szCs w:val="22"/>
        </w:rPr>
        <w:t xml:space="preserve">2.2.1 Be a full-time student enrolled in an undergraduate program at Abu Dhabi University. </w:t>
      </w:r>
    </w:p>
    <w:p w14:paraId="2A7EC96F" w14:textId="77777777" w:rsidR="003F1DFF" w:rsidRDefault="003F1DFF" w:rsidP="003F1DFF">
      <w:r>
        <w:t>2.2.2 Should have obtained, over the last academic year, a cumulative GPA of 3.0.</w:t>
      </w:r>
    </w:p>
    <w:p w14:paraId="5D02771F" w14:textId="77777777" w:rsidR="003F1DFF" w:rsidRDefault="003F1DFF" w:rsidP="003F1DFF">
      <w:pPr>
        <w:pStyle w:val="Default"/>
        <w:rPr>
          <w:sz w:val="22"/>
          <w:szCs w:val="22"/>
        </w:rPr>
      </w:pPr>
      <w:r>
        <w:rPr>
          <w:sz w:val="22"/>
          <w:szCs w:val="22"/>
        </w:rPr>
        <w:t xml:space="preserve">2.2.3 Have the approval of a faculty member who is supervising and guiding the research work. </w:t>
      </w:r>
    </w:p>
    <w:p w14:paraId="42A0CB42" w14:textId="77777777" w:rsidR="003F1DFF" w:rsidRDefault="003F1DFF" w:rsidP="003F1DFF">
      <w:pPr>
        <w:pStyle w:val="Default"/>
        <w:rPr>
          <w:sz w:val="22"/>
          <w:szCs w:val="22"/>
        </w:rPr>
      </w:pPr>
      <w:r>
        <w:rPr>
          <w:sz w:val="22"/>
          <w:szCs w:val="22"/>
        </w:rPr>
        <w:t xml:space="preserve">2.3 Each eligible student who is interested in applying for a grant should submit a research proposal describing the project scope and objectives, significance, timeframe for its execution and any anticipated expenses to the Office of Research &amp; Sponsored Programs (ORSP). </w:t>
      </w:r>
    </w:p>
    <w:p w14:paraId="2DA28B81" w14:textId="77777777" w:rsidR="003F1DFF" w:rsidRDefault="003F1DFF" w:rsidP="003F1DFF">
      <w:pPr>
        <w:pStyle w:val="Default"/>
        <w:rPr>
          <w:sz w:val="22"/>
          <w:szCs w:val="22"/>
        </w:rPr>
      </w:pPr>
      <w:r>
        <w:rPr>
          <w:sz w:val="22"/>
          <w:szCs w:val="22"/>
        </w:rPr>
        <w:t xml:space="preserve">2.4 The funding program is initiated at the </w:t>
      </w:r>
      <w:proofErr w:type="gramStart"/>
      <w:r>
        <w:rPr>
          <w:sz w:val="22"/>
          <w:szCs w:val="22"/>
        </w:rPr>
        <w:t>Fall</w:t>
      </w:r>
      <w:proofErr w:type="gramEnd"/>
      <w:r>
        <w:rPr>
          <w:sz w:val="22"/>
          <w:szCs w:val="22"/>
        </w:rPr>
        <w:t xml:space="preserve"> semester of every academic year. </w:t>
      </w:r>
    </w:p>
    <w:p w14:paraId="4FCE9640" w14:textId="77777777" w:rsidR="003F1DFF" w:rsidRDefault="003F1DFF" w:rsidP="003F1DFF">
      <w:pPr>
        <w:pStyle w:val="Default"/>
        <w:rPr>
          <w:sz w:val="22"/>
          <w:szCs w:val="22"/>
        </w:rPr>
      </w:pPr>
      <w:r>
        <w:rPr>
          <w:sz w:val="22"/>
          <w:szCs w:val="22"/>
        </w:rPr>
        <w:t xml:space="preserve">2.5 Each grantee must submit a paper or project in the major field of study, which originated from an upper-level course or independent study course under the direction of an Abu Dhabi University faculty member. </w:t>
      </w:r>
    </w:p>
    <w:p w14:paraId="4366EC8B" w14:textId="77777777" w:rsidR="003F1DFF" w:rsidRDefault="003F1DFF" w:rsidP="003F1DFF">
      <w:pPr>
        <w:pStyle w:val="Default"/>
        <w:rPr>
          <w:sz w:val="22"/>
          <w:szCs w:val="22"/>
        </w:rPr>
      </w:pPr>
      <w:r>
        <w:rPr>
          <w:b/>
          <w:bCs/>
          <w:sz w:val="22"/>
          <w:szCs w:val="22"/>
        </w:rPr>
        <w:t xml:space="preserve">Exceptions </w:t>
      </w:r>
    </w:p>
    <w:p w14:paraId="5E8D5B6C" w14:textId="77777777" w:rsidR="003F1DFF" w:rsidRDefault="003F1DFF" w:rsidP="003F1DFF">
      <w:pPr>
        <w:pStyle w:val="Default"/>
        <w:rPr>
          <w:sz w:val="22"/>
          <w:szCs w:val="22"/>
        </w:rPr>
      </w:pPr>
      <w:r>
        <w:rPr>
          <w:sz w:val="22"/>
          <w:szCs w:val="22"/>
        </w:rPr>
        <w:t xml:space="preserve">For any conditions/circumstances and/or exceptions outside the conditions stated in this policy, a request shall be presented to the Board of Directors for decision. </w:t>
      </w:r>
      <w:bookmarkStart w:id="0" w:name="_GoBack"/>
      <w:bookmarkEnd w:id="0"/>
    </w:p>
    <w:sectPr w:rsidR="003F1DFF" w:rsidSect="00F507D1">
      <w:pgSz w:w="11906" w:h="17338"/>
      <w:pgMar w:top="1220" w:right="677" w:bottom="360" w:left="11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28AC93"/>
    <w:multiLevelType w:val="hybridMultilevel"/>
    <w:tmpl w:val="01511C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911A"/>
    <w:multiLevelType w:val="hybridMultilevel"/>
    <w:tmpl w:val="C2E31F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DazMDQ1NTUyNjFQ0lEKTi0uzszPAykwqgUA+Byl8CwAAAA="/>
  </w:docVars>
  <w:rsids>
    <w:rsidRoot w:val="003F1DFF"/>
    <w:rsid w:val="0024634D"/>
    <w:rsid w:val="003F1DFF"/>
    <w:rsid w:val="00F95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0D13"/>
  <w15:chartTrackingRefBased/>
  <w15:docId w15:val="{E0259A81-2514-465F-9939-DB7CA94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DFF"/>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95110-B3CE-4C0C-B79D-EEF6F97BFAFE}">
  <ds:schemaRefs>
    <ds:schemaRef ds:uri="http://schemas.microsoft.com/office/infopath/2007/PartnerControls"/>
    <ds:schemaRef ds:uri="http://purl.org/dc/terms/"/>
    <ds:schemaRef ds:uri="http://www.w3.org/XML/1998/namespace"/>
    <ds:schemaRef ds:uri="d55e8d92-6788-4975-9d3b-7511ef9d9189"/>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148e693-5019-4ff6-b309-eb15ef9b22bb"/>
    <ds:schemaRef ds:uri="http://schemas.microsoft.com/sharepoint/v3"/>
    <ds:schemaRef ds:uri="http://purl.org/dc/dcmitype/"/>
  </ds:schemaRefs>
</ds:datastoreItem>
</file>

<file path=customXml/itemProps2.xml><?xml version="1.0" encoding="utf-8"?>
<ds:datastoreItem xmlns:ds="http://schemas.openxmlformats.org/officeDocument/2006/customXml" ds:itemID="{91B56F08-CADE-4E03-A140-17762E6659F7}">
  <ds:schemaRefs>
    <ds:schemaRef ds:uri="http://schemas.microsoft.com/sharepoint/v3/contenttype/forms"/>
  </ds:schemaRefs>
</ds:datastoreItem>
</file>

<file path=customXml/itemProps3.xml><?xml version="1.0" encoding="utf-8"?>
<ds:datastoreItem xmlns:ds="http://schemas.openxmlformats.org/officeDocument/2006/customXml" ds:itemID="{559C948A-9307-40EF-B322-597B4818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1026</Words>
  <Characters>5193</Characters>
  <Application>Microsoft Office Word</Application>
  <DocSecurity>0</DocSecurity>
  <Lines>144</Lines>
  <Paragraphs>100</Paragraphs>
  <ScaleCrop>false</ScaleCrop>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2</cp:revision>
  <dcterms:created xsi:type="dcterms:W3CDTF">2023-11-15T09:21:00Z</dcterms:created>
  <dcterms:modified xsi:type="dcterms:W3CDTF">2023-11-15T12:01:00Z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